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sz w:val="27"/>
          <w:szCs w:val="27"/>
        </w:rPr>
        <w:t xml:space="preserve">Приказом МТУ Ространснадзора по СКФО от 02 сентября 2025 г. № 202 «О </w:t>
      </w:r>
      <w:r>
        <w:rPr>
          <w:b w:val="false"/>
          <w:bCs w:val="false"/>
          <w:sz w:val="28"/>
          <w:szCs w:val="28"/>
        </w:rPr>
        <w:t>внесении изменений в состав комиссии Межрегионального территориального управления Федеральной службы по надзору в сфере транспорта по Северо-Кавказскому  федеральному округу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b w:val="false"/>
          <w:bCs w:val="false"/>
          <w:sz w:val="27"/>
          <w:szCs w:val="27"/>
        </w:rPr>
        <w:t>»</w:t>
      </w:r>
      <w:r>
        <w:rPr>
          <w:sz w:val="27"/>
          <w:szCs w:val="27"/>
        </w:rPr>
        <w:t xml:space="preserve"> утвержден состав  комиссии  МТУ Ространснадзора по СКФО  по соблюдению требований к служебному поведению федеральных государственных гражданских служащих и урегулированию конфликта интересов (далее — Комиссия).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left="113" w:righ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</w:p>
    <w:p>
      <w:pPr>
        <w:pStyle w:val="Normal"/>
        <w:ind w:left="113" w:right="0"/>
        <w:jc w:val="center"/>
        <w:rPr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комиссии </w:t>
      </w:r>
      <w:r>
        <w:rPr>
          <w:b/>
          <w:bCs/>
          <w:color w:val="000000"/>
          <w:sz w:val="28"/>
          <w:szCs w:val="28"/>
        </w:rPr>
        <w:t xml:space="preserve">Межрегионального территориального управления  </w:t>
      </w:r>
    </w:p>
    <w:p>
      <w:pPr>
        <w:pStyle w:val="Normal"/>
        <w:ind w:left="113" w:righ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Федеральной службы по надзору в сфере транспорта </w:t>
      </w:r>
    </w:p>
    <w:p>
      <w:pPr>
        <w:pStyle w:val="Normal"/>
        <w:tabs>
          <w:tab w:val="clear" w:pos="720"/>
          <w:tab w:val="left" w:pos="7655" w:leader="none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Северо-Кавказскому федеральному округу</w:t>
      </w:r>
    </w:p>
    <w:p>
      <w:pPr>
        <w:pStyle w:val="Normal"/>
        <w:tabs>
          <w:tab w:val="clear" w:pos="720"/>
          <w:tab w:val="left" w:pos="7655" w:leader="none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по соблюдению требований к служебному поведению </w:t>
      </w:r>
    </w:p>
    <w:p>
      <w:pPr>
        <w:pStyle w:val="Normal"/>
        <w:tabs>
          <w:tab w:val="clear" w:pos="720"/>
          <w:tab w:val="left" w:pos="7655" w:leader="none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федеральных государственных гражданских служащих </w:t>
      </w:r>
    </w:p>
    <w:p>
      <w:pPr>
        <w:pStyle w:val="Normal"/>
        <w:ind w:left="113" w:righ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урегулированию конфликта интересов</w:t>
      </w:r>
    </w:p>
    <w:p>
      <w:pPr>
        <w:pStyle w:val="Normal"/>
        <w:ind w:left="113" w:righ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900" w:leader="none"/>
        </w:tabs>
        <w:ind w:left="113" w:right="0"/>
        <w:jc w:val="both"/>
        <w:rPr/>
      </w:pPr>
      <w:r>
        <w:rPr>
          <w:color w:val="000000"/>
          <w:sz w:val="26"/>
          <w:szCs w:val="26"/>
        </w:rPr>
        <w:tab/>
      </w:r>
      <w:r>
        <w:rPr>
          <w:color w:val="000000"/>
          <w:sz w:val="28"/>
          <w:szCs w:val="28"/>
        </w:rPr>
        <w:t>Председатель  Комиссии:</w:t>
      </w:r>
    </w:p>
    <w:p>
      <w:pPr>
        <w:pStyle w:val="Normal"/>
        <w:tabs>
          <w:tab w:val="clear" w:pos="720"/>
          <w:tab w:val="left" w:pos="900" w:leader="none"/>
        </w:tabs>
        <w:ind w:left="113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Галушко Андрей Александрович – заместитель начальника управления  МТУ Ространснадзора  по СКФО.</w:t>
      </w:r>
    </w:p>
    <w:p>
      <w:pPr>
        <w:pStyle w:val="Normal"/>
        <w:tabs>
          <w:tab w:val="clear" w:pos="720"/>
          <w:tab w:val="left" w:pos="900" w:leader="none"/>
        </w:tabs>
        <w:ind w:left="113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Заместитель председателя Комиссии:</w:t>
      </w:r>
    </w:p>
    <w:p>
      <w:pPr>
        <w:pStyle w:val="Normal"/>
        <w:tabs>
          <w:tab w:val="clear" w:pos="720"/>
          <w:tab w:val="left" w:pos="900" w:leader="none"/>
        </w:tabs>
        <w:ind w:left="113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Дзугаев Альберт Васильевич — заместитель начальника управления — начальник отдела МТУ Ространснадзора  по СКФО.</w:t>
      </w:r>
    </w:p>
    <w:p>
      <w:pPr>
        <w:pStyle w:val="Normal"/>
        <w:tabs>
          <w:tab w:val="clear" w:pos="720"/>
          <w:tab w:val="left" w:pos="855" w:leader="none"/>
        </w:tabs>
        <w:ind w:left="113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Члены  Комиссии:</w:t>
      </w:r>
    </w:p>
    <w:p>
      <w:pPr>
        <w:pStyle w:val="Normal"/>
        <w:tabs>
          <w:tab w:val="clear" w:pos="720"/>
          <w:tab w:val="left" w:pos="855" w:leader="none"/>
        </w:tabs>
        <w:ind w:left="113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Зубков Роман Вячеславович — начальник отдела государственного железнодорожного надзора МТУ Ространснадзора  по СКФО,</w:t>
      </w:r>
    </w:p>
    <w:p>
      <w:pPr>
        <w:pStyle w:val="Normal"/>
        <w:tabs>
          <w:tab w:val="clear" w:pos="720"/>
          <w:tab w:val="left" w:pos="855" w:leader="none"/>
        </w:tabs>
        <w:ind w:left="113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Ушаков Артем Владимирович – начальник отдела государственной службы и кадров МТУ Ространснадзора  по СКФО,</w:t>
      </w:r>
    </w:p>
    <w:p>
      <w:pPr>
        <w:pStyle w:val="Normal"/>
        <w:tabs>
          <w:tab w:val="clear" w:pos="720"/>
          <w:tab w:val="left" w:pos="855" w:leader="none"/>
        </w:tabs>
        <w:ind w:left="113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Орлова Елена Александровна – ведущий специалист-эксперт отдела закупок, материального и ресурсного обеспечения МТУ Ространснадзора  по СКФО,</w:t>
      </w:r>
    </w:p>
    <w:p>
      <w:pPr>
        <w:pStyle w:val="Normal"/>
        <w:tabs>
          <w:tab w:val="clear" w:pos="720"/>
          <w:tab w:val="left" w:pos="845" w:leader="none"/>
        </w:tabs>
        <w:overflowPunct w:val="true"/>
        <w:ind w:left="113" w:right="0"/>
        <w:jc w:val="both"/>
        <w:rPr/>
      </w:pPr>
      <w:r>
        <w:rPr>
          <w:color w:val="000000"/>
          <w:sz w:val="28"/>
          <w:szCs w:val="28"/>
          <w:shd w:fill="auto" w:val="clear"/>
        </w:rPr>
        <w:tab/>
        <w:t>Демьяненко Андрей Евгеньевич — доцент кафедры экономики и менеджмента Северо-Кавказского института (филиала) АНО ВО Московского гуманитарно-экономического университета (г. Минеральные Воды)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,</w:t>
      </w:r>
    </w:p>
    <w:p>
      <w:pPr>
        <w:pStyle w:val="Normal"/>
        <w:tabs>
          <w:tab w:val="clear" w:pos="720"/>
          <w:tab w:val="left" w:pos="845" w:leader="none"/>
        </w:tabs>
        <w:overflowPunct w:val="true"/>
        <w:ind w:left="113" w:right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ab/>
        <w:t>Май-Борода Галина Николаевна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C9211E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— доцент кафедры креативно-инновационного управления и права ФГБОУ ВО «Пятигорский государственный университет»,</w:t>
      </w:r>
    </w:p>
    <w:p>
      <w:pPr>
        <w:pStyle w:val="Normal"/>
        <w:tabs>
          <w:tab w:val="clear" w:pos="720"/>
          <w:tab w:val="left" w:pos="845" w:leader="none"/>
        </w:tabs>
        <w:overflowPunct w:val="true"/>
        <w:ind w:left="113" w:right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color w:val="FF0000"/>
          <w:sz w:val="28"/>
          <w:szCs w:val="28"/>
          <w:u w:val="none"/>
          <w:shd w:fill="auto" w:val="clear"/>
          <w:em w:val="none"/>
        </w:rPr>
        <w:tab/>
      </w:r>
      <w:r>
        <w:rPr>
          <w:color w:val="000000"/>
          <w:sz w:val="28"/>
          <w:szCs w:val="28"/>
        </w:rPr>
        <w:t>Секретарь Комиссии:</w:t>
      </w:r>
    </w:p>
    <w:p>
      <w:pPr>
        <w:pStyle w:val="Normal"/>
        <w:tabs>
          <w:tab w:val="clear" w:pos="720"/>
          <w:tab w:val="left" w:pos="845" w:leader="none"/>
        </w:tabs>
        <w:overflowPunct w:val="true"/>
        <w:ind w:left="113" w:right="0"/>
        <w:jc w:val="both"/>
        <w:rPr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ab/>
        <w:t>Пленников Виталий Геннадьевич — начальник отдела профилактики коррупционных и иных правонарушений МТУ Ространснадзора  по СКФО.</w:t>
      </w:r>
    </w:p>
    <w:p>
      <w:pPr>
        <w:pStyle w:val="Normal"/>
        <w:tabs>
          <w:tab w:val="clear" w:pos="720"/>
          <w:tab w:val="left" w:pos="845" w:leader="none"/>
        </w:tabs>
        <w:overflowPunct w:val="true"/>
        <w:ind w:left="113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ind w:left="113" w:right="0"/>
        <w:jc w:val="both"/>
        <w:rPr/>
      </w:pPr>
      <w:r>
        <w:rPr>
          <w:rStyle w:val="Strong"/>
          <w:rFonts w:eastAsia="Times New Roman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en-US" w:bidi="ar-SA"/>
        </w:rPr>
        <w:tab/>
      </w:r>
      <w:r>
        <w:rPr>
          <w:rStyle w:val="blk"/>
          <w:rFonts w:eastAsia="Times New Roman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en-US" w:bidi="ar-SA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Style w:val="Strong"/>
          <w:rFonts w:eastAsia="Times New Roman" w:cs="Times New Roman" w:ascii="Times New Roman;serif" w:hAnsi="Times New Roman;serif"/>
          <w:color w:val="000000"/>
          <w:kern w:val="0"/>
          <w:sz w:val="28"/>
          <w:szCs w:val="28"/>
          <w:lang w:val="ru-RU" w:eastAsia="en-US" w:bidi="ar-SA"/>
        </w:rPr>
        <w:tab/>
      </w:r>
    </w:p>
    <w:p>
      <w:pPr>
        <w:pStyle w:val="BodyText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/>
      </w:r>
    </w:p>
    <w:p>
      <w:pPr>
        <w:pStyle w:val="BodyText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/>
      </w:r>
    </w:p>
    <w:p>
      <w:pPr>
        <w:pStyle w:val="BodyText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/>
      </w:r>
    </w:p>
    <w:p>
      <w:pPr>
        <w:pStyle w:val="BodyText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/>
      </w:r>
    </w:p>
    <w:p>
      <w:pPr>
        <w:pStyle w:val="BodyText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/>
      </w:r>
    </w:p>
    <w:p>
      <w:pPr>
        <w:pStyle w:val="BodyText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/>
      </w:r>
    </w:p>
    <w:p>
      <w:pPr>
        <w:pStyle w:val="BodyText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/>
      </w:r>
    </w:p>
    <w:p>
      <w:pPr>
        <w:pStyle w:val="BodyText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ДЕЯТЕЛЬНОСТЬ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комиссии Межрегионального территориального управления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Федеральной службы по надзору в сфере транспорта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по Северо-Кавказскому федеральному округу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по соблюдению требований к служебному поведению федеральных государственных гражданских служащих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и урегулированию конфликта интересов</w:t>
      </w:r>
    </w:p>
    <w:p>
      <w:pPr>
        <w:pStyle w:val="BodyText"/>
        <w:widowControl/>
        <w:spacing w:before="0" w:after="0"/>
        <w:ind w:hanging="0" w:left="0" w:right="0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</w:r>
    </w:p>
    <w:tbl>
      <w:tblPr>
        <w:tblW w:w="10488" w:type="dxa"/>
        <w:jc w:val="left"/>
        <w:tblInd w:w="105" w:type="dxa"/>
        <w:tblLayout w:type="fixed"/>
        <w:tblCellMar>
          <w:top w:w="0" w:type="dxa"/>
          <w:left w:w="105" w:type="dxa"/>
          <w:bottom w:w="28" w:type="dxa"/>
          <w:right w:w="105" w:type="dxa"/>
        </w:tblCellMar>
      </w:tblPr>
      <w:tblGrid>
        <w:gridCol w:w="330"/>
        <w:gridCol w:w="1"/>
        <w:gridCol w:w="1934"/>
        <w:gridCol w:w="8223"/>
      </w:tblGrid>
      <w:tr>
        <w:trPr/>
        <w:tc>
          <w:tcPr>
            <w:tcW w:w="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</w:tc>
        <w:tc>
          <w:tcPr>
            <w:tcW w:w="1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Дата проведения заседания комиссии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Рассматриваемые вопросы, принятые решения</w:t>
            </w:r>
          </w:p>
        </w:tc>
      </w:tr>
      <w:tr>
        <w:trPr/>
        <w:tc>
          <w:tcPr>
            <w:tcW w:w="1048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b/>
                <w:sz w:val="28"/>
              </w:rPr>
            </w:pPr>
            <w:r>
              <w:rPr>
                <w:rFonts w:ascii="Times New Roman;serif" w:hAnsi="Times New Roman;serif"/>
                <w:b/>
                <w:sz w:val="28"/>
              </w:rPr>
              <w:t>2025</w:t>
            </w:r>
          </w:p>
        </w:tc>
      </w:tr>
      <w:tr>
        <w:trPr/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</w:t>
            </w:r>
          </w:p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</w:r>
          </w:p>
        </w:tc>
        <w:tc>
          <w:tcPr>
            <w:tcW w:w="19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21.04.2025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1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принято решения дать согласие на замещение должности в соответствующей организации.</w:t>
            </w:r>
          </w:p>
        </w:tc>
      </w:tr>
      <w:tr>
        <w:trPr/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</w:t>
            </w:r>
          </w:p>
        </w:tc>
        <w:tc>
          <w:tcPr>
            <w:tcW w:w="19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28.04.2025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рассмотрено 1 уведомление, поступившее в соответствии с подпунктом «е» пункта 16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государственного гражданского служащего о невозможности по объективным причинам представить сведения о своих доходах, об имуществе  и обязательствах имущественного характера, а также доходах, об имуществе и обязательствах имущественного характера своих супруги и несовершеннолетних детей.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установлено наличие причинно-следственной связи между возникновением не 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Государственный гражданский служащий обязан обеспечить соблюдение ограничений, запретов и требований, а также исполнение обязанности по представлению сведений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своей супруги и несовершеннолетних детей за отчетный период не позднее,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 и исполнению обязанностей.</w:t>
            </w:r>
          </w:p>
        </w:tc>
      </w:tr>
      <w:tr>
        <w:trPr/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3</w:t>
            </w:r>
          </w:p>
        </w:tc>
        <w:tc>
          <w:tcPr>
            <w:tcW w:w="19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11.08.2025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1 уведомление, поступившее в соответствии с пунктом 3 статьи 19 Федерального закона от 27.07.2004 № 79-ФЗ «О государственной гражданской службе» и со статьей 11 Федерального закона от 25 декабря 2008 г. N 273-ФЗ "О противодействии коррупции" о возникновении личной заинтересованности, которая приводит или может привести к конфликту интересов.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принято решение рекомендовать непосредственному руководителю государственного гражданского служащего не поручать ему участвовать в осуществлении федерального государственного контроля (надзора) в соответствующей области государственного надзора в отношении соответствующей организации, включая проведение соответствующих контрольных (надзорных) мероприятий.</w:t>
            </w:r>
          </w:p>
        </w:tc>
      </w:tr>
      <w:tr>
        <w:trPr/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4</w:t>
            </w:r>
          </w:p>
        </w:tc>
        <w:tc>
          <w:tcPr>
            <w:tcW w:w="19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13.10.2025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Рассмотрен доклад </w:t>
            </w: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 xml:space="preserve">по результатам проверки </w:t>
            </w:r>
            <w:r>
              <w:rPr>
                <w:rFonts w:eastAsia="Times New Roman" w:cs="Times New Roman" w:ascii="Times New Roman;serif" w:hAnsi="Times New Roman;serif"/>
                <w:b w:val="false"/>
                <w:bCs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достоверности и полноты сведений о доходах</w:t>
            </w: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, об имуществе и обязательствах имущественного характера и  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273-ФЗ «О противодействии коррупции» и другими федеральными законами.</w:t>
            </w:r>
          </w:p>
          <w:p>
            <w:pPr>
              <w:pStyle w:val="Normal"/>
              <w:pBdr>
                <w:top w:val="single" w:sz="4" w:space="0" w:color="FFFFFF"/>
                <w:left w:val="single" w:sz="4" w:space="1" w:color="FFFFFF"/>
                <w:bottom w:val="single" w:sz="4" w:space="31" w:color="FFFFFF"/>
                <w:right w:val="single" w:sz="4" w:space="3" w:color="FFFFFF"/>
              </w:pBdr>
              <w:spacing w:lineRule="auto" w:line="240"/>
              <w:jc w:val="both"/>
              <w:textAlignment w:val="baseline"/>
              <w:rPr/>
            </w:pP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Комиссией у</w:t>
            </w:r>
            <w:r>
              <w:rPr>
                <w:rStyle w:val="Exact"/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становлено:</w:t>
            </w:r>
          </w:p>
          <w:p>
            <w:pPr>
              <w:pStyle w:val="Normal"/>
              <w:pBdr>
                <w:top w:val="single" w:sz="4" w:space="0" w:color="FFFFFF"/>
                <w:left w:val="single" w:sz="4" w:space="1" w:color="FFFFFF"/>
                <w:bottom w:val="single" w:sz="4" w:space="31" w:color="FFFFFF"/>
                <w:right w:val="single" w:sz="4" w:space="3" w:color="FFFFFF"/>
              </w:pBdr>
              <w:spacing w:lineRule="auto" w:line="240"/>
              <w:jc w:val="both"/>
              <w:textAlignment w:val="baseline"/>
              <w:rPr/>
            </w:pPr>
            <w:r>
              <w:rPr>
                <w:rStyle w:val="Exact"/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1. Сведения о доходах, об имуществе и обязательствах имущественного характера являются недостоверными и  неполными. Рекомендовано применение к государственному служащему дисциплинарного взыскания.</w:t>
            </w:r>
          </w:p>
          <w:p>
            <w:pPr>
              <w:pStyle w:val="Normal"/>
              <w:pBdr>
                <w:top w:val="single" w:sz="4" w:space="0" w:color="FFFFFF"/>
                <w:left w:val="single" w:sz="4" w:space="1" w:color="FFFFFF"/>
                <w:bottom w:val="single" w:sz="4" w:space="31" w:color="FFFFFF"/>
                <w:right w:val="single" w:sz="4" w:space="3" w:color="FFFFFF"/>
              </w:pBdr>
              <w:spacing w:lineRule="auto" w:line="240"/>
              <w:jc w:val="both"/>
              <w:textAlignment w:val="baseline"/>
              <w:rPr/>
            </w:pPr>
            <w:r>
              <w:rPr>
                <w:rStyle w:val="Exact"/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2.Государственный служащий не соблюдал требования к служебному поведению и требования об урегулировании конфликта интересов, выразившиеся в неуведомлении представителя нанимателя о возможности возникновения личной заинтересованности при исполнении должностных обязанностей, которая может привести к конфликту интересов. Рекомендовано указать государственному служащему на недопустимость нарушения требований к служебному поведению и требований об урегулировании конфликта интересов, строго руководствоваться в своей деятельности нормативно-правовыми документами. Непосредственному руководителю государственного служащего рекомендовано осуществлять контроль за его деятельностью при осуществлении отдельных функций в отношении подконтрольной организации.</w:t>
            </w:r>
          </w:p>
        </w:tc>
      </w:tr>
    </w:tbl>
    <w:p>
      <w:pPr>
        <w:pStyle w:val="Normal"/>
        <w:jc w:val="center"/>
        <w:rPr>
          <w:lang w:val="ru-RU" w:eastAsia="ru-RU"/>
        </w:rPr>
      </w:pPr>
      <w:r>
        <w:rPr>
          <w:lang w:val="ru-RU" w:eastAsia="ru-RU"/>
        </w:rPr>
      </w:r>
    </w:p>
    <w:sectPr>
      <w:type w:val="nextPage"/>
      <w:pgSz w:w="11906" w:h="16838"/>
      <w:pgMar w:left="851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 Sans">
    <w:charset w:val="01"/>
    <w:family w:val="roman"/>
    <w:pitch w:val="variable"/>
  </w:font>
  <w:font w:name="Arial">
    <w:charset w:val="01"/>
    <w:family w:val="swiss"/>
    <w:pitch w:val="variable"/>
  </w:font>
  <w:font w:name="Times New Roman">
    <w:altName w:val="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pPr>
      <w:ind w:left="162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1"/>
    <w:qFormat/>
    <w:rsid w:val="00764758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sid w:val="00764758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rong">
    <w:name w:val="Strong"/>
    <w:qFormat/>
    <w:rPr>
      <w:b/>
      <w:bCs/>
    </w:rPr>
  </w:style>
  <w:style w:type="character" w:styleId="Exact">
    <w:name w:val="Основной текст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4"/>
      <w:sz w:val="26"/>
      <w:szCs w:val="26"/>
      <w:u w:val="none"/>
    </w:rPr>
  </w:style>
  <w:style w:type="character" w:styleId="Hyperlink">
    <w:name w:val="Hyperlink"/>
    <w:rPr>
      <w:color w:val="000080"/>
      <w:u w:val="single"/>
    </w:rPr>
  </w:style>
  <w:style w:type="character" w:styleId="blk">
    <w:name w:val="blk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hanging="140" w:left="30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6"/>
      <w:szCs w:val="26"/>
      <w:lang w:val="ru-RU" w:eastAsia="ru-RU" w:bidi="hi-IN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Application>LibreOffice/24.8.7.2$Linux_X86_64 LibreOffice_project/480$Build-2</Application>
  <AppVersion>15.0000</AppVersion>
  <Pages>3</Pages>
  <Words>756</Words>
  <Characters>5996</Characters>
  <CharactersWithSpaces>6760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2022-09-13T05:41:00Z</dcterms:created>
  <dc:creator>Пользователь</dc:creator>
  <dc:description/>
  <dc:language>ru-RU</dc:language>
  <cp:lastModifiedBy/>
  <cp:lastPrinted>2025-08-12T12:04:05Z</cp:lastPrinted>
  <dcterms:modified xsi:type="dcterms:W3CDTF">2025-10-27T17:23:23Z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2022-09-13T00:00:00Z</vt:filetime>
  </property>
</Properties>
</file>